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9"/>
        <w:bidiVisual/>
        <w:tblW w:w="853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08"/>
        <w:gridCol w:w="1237"/>
        <w:gridCol w:w="6691"/>
      </w:tblGrid>
      <w:tr w:rsidR="00694556" w:rsidTr="00C0113B">
        <w:trPr>
          <w:jc w:val="center"/>
        </w:trPr>
        <w:tc>
          <w:tcPr>
            <w:tcW w:w="608" w:type="dxa"/>
          </w:tcPr>
          <w:p w:rsidR="00694556" w:rsidRDefault="00005C8B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7928" w:type="dxa"/>
            <w:gridSpan w:val="2"/>
          </w:tcPr>
          <w:p w:rsidR="00694556" w:rsidRDefault="00005C8B" w:rsidP="00A26C28">
            <w:pPr>
              <w:rPr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51821462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824737767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רותם קודלר עיאש</w:t>
                </w:r>
              </w:sdtContent>
            </w:sdt>
          </w:p>
          <w:p w:rsidR="00DA6871" w:rsidRPr="00A26C28" w:rsidRDefault="00DA6871" w:rsidP="00A26C28">
            <w:pPr>
              <w:rPr>
                <w:rFonts w:ascii="Arial" w:hAnsi="Arial"/>
                <w:b/>
                <w:bCs/>
              </w:rPr>
            </w:pPr>
          </w:p>
        </w:tc>
      </w:tr>
      <w:tr w:rsidR="00694556" w:rsidTr="00C0113B">
        <w:trPr>
          <w:trHeight w:val="468"/>
          <w:jc w:val="center"/>
        </w:trPr>
        <w:tc>
          <w:tcPr>
            <w:tcW w:w="1845" w:type="dxa"/>
            <w:gridSpan w:val="2"/>
          </w:tcPr>
          <w:sdt>
            <w:sdtPr>
              <w:alias w:val="1180"/>
              <w:tag w:val="1180"/>
              <w:id w:val="1518350924"/>
              <w:text w:multiLine="1"/>
            </w:sdtPr>
            <w:sdtEndPr/>
            <w:sdtContent>
              <w:p w:rsidR="007D6320" w:rsidRDefault="00176A9F" w:rsidP="00176A9F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מבקשת</w:t>
                </w:r>
              </w:p>
            </w:sdtContent>
          </w:sdt>
        </w:tc>
        <w:tc>
          <w:tcPr>
            <w:tcW w:w="6691" w:type="dxa"/>
          </w:tcPr>
          <w:p w:rsidR="00AF1E56" w:rsidRDefault="00E7449E" w:rsidP="00BF4FBC">
            <w:sdt>
              <w:sdtPr>
                <w:rPr>
                  <w:rFonts w:hint="cs"/>
                  <w:rtl/>
                </w:rPr>
                <w:alias w:val="2316"/>
                <w:tag w:val="2316"/>
                <w:id w:val="325945268"/>
                <w:text w:multiLine="1"/>
              </w:sdtPr>
              <w:sdtEndPr/>
              <w:sdtContent>
                <w:r w:rsidR="00BF4FBC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פלונית</w:t>
                </w:r>
                <w:r w:rsidR="00176A9F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br/>
                </w:r>
                <w:r w:rsidR="00176A9F">
                  <w:rPr>
                    <w:rFonts w:hint="cs"/>
                    <w:rtl/>
                  </w:rPr>
                  <w:t>באמצעות עו"ד יגאל בן חיים</w:t>
                </w:r>
              </w:sdtContent>
            </w:sdt>
          </w:p>
          <w:p w:rsidR="00694556" w:rsidRPr="00AF1E56" w:rsidRDefault="00694556" w:rsidP="00270668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Tr="00C0113B">
        <w:trPr>
          <w:jc w:val="center"/>
        </w:trPr>
        <w:tc>
          <w:tcPr>
            <w:tcW w:w="8536" w:type="dxa"/>
            <w:gridSpan w:val="3"/>
          </w:tcPr>
          <w:p w:rsidR="00694556" w:rsidRDefault="00694556" w:rsidP="00A338A6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694556" w:rsidTr="00C0113B">
        <w:trPr>
          <w:jc w:val="center"/>
        </w:trPr>
        <w:tc>
          <w:tcPr>
            <w:tcW w:w="1845" w:type="dxa"/>
            <w:gridSpan w:val="2"/>
          </w:tcPr>
          <w:p w:rsidR="00694556" w:rsidRDefault="00E7449E" w:rsidP="00176A9F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408923876"/>
                <w:text w:multiLine="1"/>
              </w:sdtPr>
              <w:sdtEndPr/>
              <w:sdtContent>
                <w:r w:rsidR="00176A9F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6691" w:type="dxa"/>
          </w:tcPr>
          <w:p w:rsidR="00603191" w:rsidRPr="00BF4FBC" w:rsidRDefault="00BF4FBC" w:rsidP="00603191">
            <w:pPr>
              <w:rPr>
                <w:b/>
                <w:bCs/>
              </w:rPr>
            </w:pPr>
            <w:r w:rsidRPr="00BF4FBC">
              <w:rPr>
                <w:rFonts w:hint="cs"/>
                <w:b/>
                <w:bCs/>
                <w:rtl/>
              </w:rPr>
              <w:t>פלוני</w:t>
            </w:r>
          </w:p>
          <w:p w:rsidR="00694556" w:rsidRPr="00270668" w:rsidRDefault="00694556" w:rsidP="00270668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Tr="00C0113B">
        <w:trPr>
          <w:jc w:val="center"/>
        </w:trPr>
        <w:tc>
          <w:tcPr>
            <w:tcW w:w="8536" w:type="dxa"/>
            <w:gridSpan w:val="3"/>
          </w:tcPr>
          <w:p w:rsidR="00694556" w:rsidRDefault="00C53B5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</w:tc>
      </w:tr>
    </w:tbl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A67F40" w:rsidP="00176A9F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הצדדים הגישו </w:t>
      </w:r>
      <w:r w:rsidR="00176A9F">
        <w:rPr>
          <w:rFonts w:ascii="Arial" w:hAnsi="Arial" w:hint="cs"/>
          <w:noProof w:val="0"/>
          <w:rtl/>
        </w:rPr>
        <w:t>בחודש נובמבר 2024 בקשה ל</w:t>
      </w:r>
      <w:r>
        <w:rPr>
          <w:rFonts w:ascii="Arial" w:hAnsi="Arial" w:hint="cs"/>
          <w:noProof w:val="0"/>
          <w:rtl/>
        </w:rPr>
        <w:t>יישוב סכסוך בבימ"ש למשפחה בראשל"צ.</w:t>
      </w:r>
    </w:p>
    <w:p w:rsidR="00A67F40" w:rsidRPr="00156030" w:rsidRDefault="00A67F40" w:rsidP="00176A9F">
      <w:pPr>
        <w:spacing w:line="360" w:lineRule="auto"/>
        <w:jc w:val="both"/>
        <w:rPr>
          <w:rFonts w:ascii="Arial" w:hAnsi="Arial"/>
          <w:b/>
          <w:bCs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בהחלטת ביהמ"ש למשפחה ראשל"צ מיום 26/11/24 נקבע כי </w:t>
      </w:r>
      <w:r w:rsidR="00156030">
        <w:rPr>
          <w:rFonts w:ascii="Arial" w:hAnsi="Arial" w:hint="cs"/>
          <w:noProof w:val="0"/>
          <w:rtl/>
        </w:rPr>
        <w:t>"</w:t>
      </w:r>
      <w:r w:rsidRPr="00156030">
        <w:rPr>
          <w:rFonts w:ascii="Arial" w:hAnsi="Arial" w:hint="cs"/>
          <w:b/>
          <w:bCs/>
          <w:noProof w:val="0"/>
          <w:rtl/>
        </w:rPr>
        <w:t xml:space="preserve">נוכח קיומו של הליך י"ס קודם בבימ"ש </w:t>
      </w:r>
      <w:r w:rsidR="00176A9F" w:rsidRPr="00156030">
        <w:rPr>
          <w:rFonts w:ascii="Arial" w:hAnsi="Arial" w:hint="cs"/>
          <w:b/>
          <w:bCs/>
          <w:noProof w:val="0"/>
          <w:rtl/>
        </w:rPr>
        <w:t>למשפחה</w:t>
      </w:r>
      <w:r w:rsidRPr="00156030">
        <w:rPr>
          <w:rFonts w:ascii="Arial" w:hAnsi="Arial" w:hint="cs"/>
          <w:b/>
          <w:bCs/>
          <w:noProof w:val="0"/>
          <w:rtl/>
        </w:rPr>
        <w:t xml:space="preserve"> </w:t>
      </w:r>
      <w:r w:rsidR="00176A9F" w:rsidRPr="00156030">
        <w:rPr>
          <w:rFonts w:ascii="Arial" w:hAnsi="Arial" w:hint="cs"/>
          <w:b/>
          <w:bCs/>
          <w:noProof w:val="0"/>
          <w:rtl/>
        </w:rPr>
        <w:t>ב</w:t>
      </w:r>
      <w:r w:rsidRPr="00156030">
        <w:rPr>
          <w:rFonts w:ascii="Arial" w:hAnsi="Arial" w:hint="cs"/>
          <w:b/>
          <w:bCs/>
          <w:noProof w:val="0"/>
          <w:rtl/>
        </w:rPr>
        <w:t>אשדוד יועבר התיק לבימ"ש למשפחה אשדוד</w:t>
      </w:r>
      <w:r w:rsidR="00156030" w:rsidRPr="00156030">
        <w:rPr>
          <w:rFonts w:ascii="Arial" w:hAnsi="Arial" w:hint="cs"/>
          <w:b/>
          <w:bCs/>
          <w:noProof w:val="0"/>
          <w:rtl/>
        </w:rPr>
        <w:t>"</w:t>
      </w:r>
      <w:r w:rsidRPr="00156030">
        <w:rPr>
          <w:rFonts w:ascii="Arial" w:hAnsi="Arial" w:hint="cs"/>
          <w:b/>
          <w:bCs/>
          <w:noProof w:val="0"/>
          <w:rtl/>
        </w:rPr>
        <w:t>.</w:t>
      </w:r>
    </w:p>
    <w:p w:rsidR="00A67F40" w:rsidRDefault="00A67F40" w:rsidP="00BF4FB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עיון בתיק י"ס 9077-11-22 שהוגש ע"י הצדדים לבימ"ש למשפחה אשדוד </w:t>
      </w:r>
      <w:r w:rsidR="00176A9F">
        <w:rPr>
          <w:rFonts w:ascii="Arial" w:hAnsi="Arial" w:hint="cs"/>
          <w:noProof w:val="0"/>
          <w:rtl/>
        </w:rPr>
        <w:t xml:space="preserve">בשנת 2022, מעלה </w:t>
      </w:r>
      <w:r>
        <w:rPr>
          <w:rFonts w:ascii="Arial" w:hAnsi="Arial" w:hint="cs"/>
          <w:noProof w:val="0"/>
          <w:rtl/>
        </w:rPr>
        <w:t xml:space="preserve">כי נוכח מגורי הצדדים במושב </w:t>
      </w:r>
      <w:r w:rsidR="00BF4FBC">
        <w:rPr>
          <w:rFonts w:ascii="Arial" w:hAnsi="Arial" w:hint="cs"/>
          <w:noProof w:val="0"/>
          <w:rtl/>
        </w:rPr>
        <w:t>נווה מבטח</w:t>
      </w:r>
      <w:r w:rsidR="00176A9F">
        <w:rPr>
          <w:rFonts w:ascii="Arial" w:hAnsi="Arial" w:hint="cs"/>
          <w:noProof w:val="0"/>
          <w:rtl/>
        </w:rPr>
        <w:t xml:space="preserve">, במועצה האזורית באר טוביה, </w:t>
      </w:r>
      <w:r>
        <w:rPr>
          <w:rFonts w:ascii="Arial" w:hAnsi="Arial" w:hint="cs"/>
          <w:noProof w:val="0"/>
          <w:rtl/>
        </w:rPr>
        <w:t xml:space="preserve">קבע ביהמ"ש למשפחה באשדוד </w:t>
      </w:r>
      <w:r w:rsidR="00176A9F">
        <w:rPr>
          <w:rFonts w:ascii="Arial" w:hAnsi="Arial" w:hint="cs"/>
          <w:noProof w:val="0"/>
          <w:rtl/>
        </w:rPr>
        <w:t xml:space="preserve">בהחלטה מיום 23/11/2-24 </w:t>
      </w:r>
      <w:r>
        <w:rPr>
          <w:rFonts w:ascii="Arial" w:hAnsi="Arial" w:hint="cs"/>
          <w:noProof w:val="0"/>
          <w:rtl/>
        </w:rPr>
        <w:t xml:space="preserve">כי </w:t>
      </w:r>
      <w:r w:rsidR="00156030">
        <w:rPr>
          <w:rFonts w:ascii="Arial" w:hAnsi="Arial" w:hint="cs"/>
          <w:noProof w:val="0"/>
          <w:rtl/>
        </w:rPr>
        <w:t>"</w:t>
      </w:r>
      <w:r w:rsidR="00156030" w:rsidRPr="00156030">
        <w:rPr>
          <w:rFonts w:ascii="Arial" w:hAnsi="Arial" w:hint="cs"/>
          <w:b/>
          <w:bCs/>
          <w:noProof w:val="0"/>
          <w:rtl/>
        </w:rPr>
        <w:t xml:space="preserve">נוכח מגורי הצדדים במושב נווה מבטח </w:t>
      </w:r>
      <w:r w:rsidRPr="00156030">
        <w:rPr>
          <w:rFonts w:ascii="Arial" w:hAnsi="Arial" w:hint="cs"/>
          <w:b/>
          <w:bCs/>
          <w:noProof w:val="0"/>
          <w:rtl/>
        </w:rPr>
        <w:t>הסמכות המקומית נתונה לבימ"ש למשפחה בקרית גת</w:t>
      </w:r>
      <w:r w:rsidR="00156030">
        <w:rPr>
          <w:rFonts w:ascii="Arial" w:hAnsi="Arial" w:hint="cs"/>
          <w:noProof w:val="0"/>
          <w:rtl/>
        </w:rPr>
        <w:t>"</w:t>
      </w:r>
      <w:r>
        <w:rPr>
          <w:rFonts w:ascii="Arial" w:hAnsi="Arial" w:hint="cs"/>
          <w:noProof w:val="0"/>
          <w:rtl/>
        </w:rPr>
        <w:t xml:space="preserve"> ועל הצדדים להבהיר מדוע הוגשה התביעה בבימ"ש למשפחה באשדוד.</w:t>
      </w:r>
    </w:p>
    <w:p w:rsidR="00A67F40" w:rsidRDefault="00156030" w:rsidP="0015603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בתיק י"ס 9077-11-22 </w:t>
      </w:r>
      <w:r w:rsidR="00A67F40">
        <w:rPr>
          <w:rFonts w:ascii="Arial" w:hAnsi="Arial" w:hint="cs"/>
          <w:noProof w:val="0"/>
          <w:rtl/>
        </w:rPr>
        <w:t xml:space="preserve">לא </w:t>
      </w:r>
      <w:r>
        <w:rPr>
          <w:rFonts w:ascii="Arial" w:hAnsi="Arial" w:hint="cs"/>
          <w:noProof w:val="0"/>
          <w:rtl/>
        </w:rPr>
        <w:t>הוגשה</w:t>
      </w:r>
      <w:r w:rsidR="00A67F40">
        <w:rPr>
          <w:rFonts w:ascii="Arial" w:hAnsi="Arial" w:hint="cs"/>
          <w:noProof w:val="0"/>
          <w:rtl/>
        </w:rPr>
        <w:t xml:space="preserve"> כל הבהרה</w:t>
      </w:r>
      <w:r w:rsidR="00176A9F">
        <w:rPr>
          <w:rFonts w:ascii="Arial" w:hAnsi="Arial" w:hint="cs"/>
          <w:noProof w:val="0"/>
          <w:rtl/>
        </w:rPr>
        <w:t>,</w:t>
      </w:r>
      <w:r w:rsidR="00A67F40">
        <w:rPr>
          <w:rFonts w:ascii="Arial" w:hAnsi="Arial" w:hint="cs"/>
          <w:noProof w:val="0"/>
          <w:rtl/>
        </w:rPr>
        <w:t xml:space="preserve"> הת</w:t>
      </w:r>
      <w:r w:rsidR="00176A9F">
        <w:rPr>
          <w:rFonts w:ascii="Arial" w:hAnsi="Arial" w:hint="cs"/>
          <w:noProof w:val="0"/>
          <w:rtl/>
        </w:rPr>
        <w:t>ובענה נמחקה מחוסר מעש והתיק בבימ"ש למשפחה באשדוד נסגר</w:t>
      </w:r>
      <w:r w:rsidR="00A67F40">
        <w:rPr>
          <w:rFonts w:ascii="Arial" w:hAnsi="Arial" w:hint="cs"/>
          <w:noProof w:val="0"/>
          <w:rtl/>
        </w:rPr>
        <w:t>.</w:t>
      </w:r>
    </w:p>
    <w:p w:rsidR="00A67F40" w:rsidRDefault="00A67F40" w:rsidP="00994CBC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בחלוף שנתיים, הגיש</w:t>
      </w:r>
      <w:r w:rsidR="00176A9F">
        <w:rPr>
          <w:rFonts w:ascii="Arial" w:hAnsi="Arial" w:hint="cs"/>
          <w:noProof w:val="0"/>
          <w:rtl/>
        </w:rPr>
        <w:t xml:space="preserve">ה המבקשת, </w:t>
      </w:r>
      <w:r>
        <w:rPr>
          <w:rFonts w:ascii="Arial" w:hAnsi="Arial" w:hint="cs"/>
          <w:noProof w:val="0"/>
          <w:rtl/>
        </w:rPr>
        <w:t xml:space="preserve">בקשה </w:t>
      </w:r>
      <w:r w:rsidR="00176A9F">
        <w:rPr>
          <w:rFonts w:ascii="Arial" w:hAnsi="Arial" w:hint="cs"/>
          <w:noProof w:val="0"/>
          <w:rtl/>
        </w:rPr>
        <w:t xml:space="preserve">נוספת </w:t>
      </w:r>
      <w:r>
        <w:rPr>
          <w:rFonts w:ascii="Arial" w:hAnsi="Arial" w:hint="cs"/>
          <w:noProof w:val="0"/>
          <w:rtl/>
        </w:rPr>
        <w:t>ליישוב סכסוך ו</w:t>
      </w:r>
      <w:r w:rsidR="00C0113B">
        <w:rPr>
          <w:rFonts w:ascii="Arial" w:hAnsi="Arial" w:hint="cs"/>
          <w:noProof w:val="0"/>
          <w:rtl/>
        </w:rPr>
        <w:t>שוב</w:t>
      </w:r>
      <w:r>
        <w:rPr>
          <w:rFonts w:ascii="Arial" w:hAnsi="Arial" w:hint="cs"/>
          <w:noProof w:val="0"/>
          <w:rtl/>
        </w:rPr>
        <w:t xml:space="preserve"> </w:t>
      </w:r>
      <w:r w:rsidR="00176A9F">
        <w:rPr>
          <w:rFonts w:ascii="Arial" w:hAnsi="Arial" w:hint="cs"/>
          <w:noProof w:val="0"/>
          <w:rtl/>
        </w:rPr>
        <w:t xml:space="preserve">הוגשה הבקשה באופן שגוי, שלא </w:t>
      </w:r>
      <w:r w:rsidR="00994CBC">
        <w:rPr>
          <w:rFonts w:ascii="Arial" w:hAnsi="Arial" w:hint="cs"/>
          <w:noProof w:val="0"/>
          <w:rtl/>
        </w:rPr>
        <w:t xml:space="preserve">עפ"י כללי </w:t>
      </w:r>
      <w:r w:rsidR="00176A9F">
        <w:rPr>
          <w:rFonts w:ascii="Arial" w:hAnsi="Arial" w:hint="cs"/>
          <w:noProof w:val="0"/>
          <w:rtl/>
        </w:rPr>
        <w:t>הסמכות המקומית. הפעם כאמור, הבקשה הוגשה לבימ"ש למשפחה בראשל"צ, אשר אף הו</w:t>
      </w:r>
      <w:r w:rsidR="00BF4FBC">
        <w:rPr>
          <w:rFonts w:ascii="Arial" w:hAnsi="Arial" w:hint="cs"/>
          <w:noProof w:val="0"/>
          <w:rtl/>
        </w:rPr>
        <w:t>א</w:t>
      </w:r>
      <w:r w:rsidR="00994CBC">
        <w:rPr>
          <w:rFonts w:ascii="Arial" w:hAnsi="Arial" w:hint="cs"/>
          <w:noProof w:val="0"/>
          <w:rtl/>
        </w:rPr>
        <w:t>,</w:t>
      </w:r>
      <w:r w:rsidR="00176A9F">
        <w:rPr>
          <w:rFonts w:ascii="Arial" w:hAnsi="Arial" w:hint="cs"/>
          <w:noProof w:val="0"/>
          <w:rtl/>
        </w:rPr>
        <w:t xml:space="preserve"> נוכח מקום מגורי הצדדים</w:t>
      </w:r>
      <w:r w:rsidR="00994CBC">
        <w:rPr>
          <w:rFonts w:ascii="Arial" w:hAnsi="Arial" w:hint="cs"/>
          <w:noProof w:val="0"/>
          <w:rtl/>
        </w:rPr>
        <w:t>,</w:t>
      </w:r>
      <w:r w:rsidR="00176A9F">
        <w:rPr>
          <w:rFonts w:ascii="Arial" w:hAnsi="Arial" w:hint="cs"/>
          <w:noProof w:val="0"/>
          <w:rtl/>
        </w:rPr>
        <w:t xml:space="preserve"> עורר את שאלת הסמכות המקומית.</w:t>
      </w:r>
    </w:p>
    <w:p w:rsidR="00A67F40" w:rsidRDefault="00176A9F" w:rsidP="0015603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שעה שאין ולא יכולה להיות</w:t>
      </w:r>
      <w:r w:rsidR="00A67F40">
        <w:rPr>
          <w:rFonts w:ascii="Arial" w:hAnsi="Arial" w:hint="cs"/>
          <w:noProof w:val="0"/>
          <w:rtl/>
        </w:rPr>
        <w:t xml:space="preserve"> מחלוקת כי הן בימ"ש למשפחה ראשל"צ, הן בימ"ש למשפחה אשדוד אינם בתי המשפט שלהם הסמכות המקומית לדון בעניינם של הצדדים שמקום מגוריהם המש</w:t>
      </w:r>
      <w:r w:rsidR="00156030">
        <w:rPr>
          <w:rFonts w:ascii="Arial" w:hAnsi="Arial" w:hint="cs"/>
          <w:noProof w:val="0"/>
          <w:rtl/>
        </w:rPr>
        <w:t>ו</w:t>
      </w:r>
      <w:r w:rsidR="00A67F40">
        <w:rPr>
          <w:rFonts w:ascii="Arial" w:hAnsi="Arial" w:hint="cs"/>
          <w:noProof w:val="0"/>
          <w:rtl/>
        </w:rPr>
        <w:t>תף האחרון במושב נווה מבטח</w:t>
      </w:r>
      <w:r>
        <w:rPr>
          <w:rFonts w:ascii="Arial" w:hAnsi="Arial" w:hint="cs"/>
          <w:noProof w:val="0"/>
          <w:rtl/>
        </w:rPr>
        <w:t>, אנ</w:t>
      </w:r>
      <w:r w:rsidR="00A67F40">
        <w:rPr>
          <w:rFonts w:ascii="Arial" w:hAnsi="Arial" w:hint="cs"/>
          <w:noProof w:val="0"/>
          <w:rtl/>
        </w:rPr>
        <w:t>י מורה על העברת התיק לבימ"ש למשפחה בקרית גת.</w:t>
      </w:r>
    </w:p>
    <w:p w:rsidR="00176A9F" w:rsidRDefault="00176A9F" w:rsidP="0015603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לת</w:t>
      </w:r>
      <w:r w:rsidR="00156030">
        <w:rPr>
          <w:rFonts w:ascii="Arial" w:hAnsi="Arial" w:hint="cs"/>
          <w:noProof w:val="0"/>
          <w:rtl/>
        </w:rPr>
        <w:t>ש</w:t>
      </w:r>
      <w:r>
        <w:rPr>
          <w:rFonts w:ascii="Arial" w:hAnsi="Arial" w:hint="cs"/>
          <w:noProof w:val="0"/>
          <w:rtl/>
        </w:rPr>
        <w:t xml:space="preserve">ומת </w:t>
      </w:r>
      <w:r w:rsidR="00C0113B">
        <w:rPr>
          <w:rFonts w:ascii="Arial" w:hAnsi="Arial" w:hint="cs"/>
          <w:noProof w:val="0"/>
          <w:rtl/>
        </w:rPr>
        <w:t>לב</w:t>
      </w:r>
      <w:r>
        <w:rPr>
          <w:rFonts w:ascii="Arial" w:hAnsi="Arial" w:hint="cs"/>
          <w:noProof w:val="0"/>
          <w:rtl/>
        </w:rPr>
        <w:t xml:space="preserve"> ב"כ המבקשת כי </w:t>
      </w:r>
      <w:r w:rsidRPr="00C0113B">
        <w:rPr>
          <w:rFonts w:ascii="Arial" w:hAnsi="Arial" w:hint="cs"/>
          <w:b/>
          <w:bCs/>
          <w:noProof w:val="0"/>
          <w:u w:val="single"/>
          <w:rtl/>
        </w:rPr>
        <w:t>מצופה היה כי המבקשת שהינה מיוצגת וכבר הגישה בצורה שגויה בקשה קודמת, הי</w:t>
      </w:r>
      <w:r w:rsidR="00C0113B">
        <w:rPr>
          <w:rFonts w:ascii="Arial" w:hAnsi="Arial" w:hint="cs"/>
          <w:b/>
          <w:bCs/>
          <w:noProof w:val="0"/>
          <w:u w:val="single"/>
          <w:rtl/>
        </w:rPr>
        <w:t>י</w:t>
      </w:r>
      <w:r w:rsidRPr="00C0113B">
        <w:rPr>
          <w:rFonts w:ascii="Arial" w:hAnsi="Arial" w:hint="cs"/>
          <w:b/>
          <w:bCs/>
          <w:noProof w:val="0"/>
          <w:u w:val="single"/>
          <w:rtl/>
        </w:rPr>
        <w:t>ת</w:t>
      </w:r>
      <w:r w:rsidR="00156030" w:rsidRPr="00C0113B">
        <w:rPr>
          <w:rFonts w:ascii="Arial" w:hAnsi="Arial" w:hint="cs"/>
          <w:b/>
          <w:bCs/>
          <w:noProof w:val="0"/>
          <w:u w:val="single"/>
          <w:rtl/>
        </w:rPr>
        <w:t>ה</w:t>
      </w:r>
      <w:r w:rsidRPr="00C0113B">
        <w:rPr>
          <w:rFonts w:ascii="Arial" w:hAnsi="Arial" w:hint="cs"/>
          <w:b/>
          <w:bCs/>
          <w:noProof w:val="0"/>
          <w:u w:val="single"/>
          <w:rtl/>
        </w:rPr>
        <w:t xml:space="preserve"> טורחת לבדוק </w:t>
      </w:r>
      <w:r w:rsidR="00156030" w:rsidRPr="00C0113B">
        <w:rPr>
          <w:rFonts w:ascii="Arial" w:hAnsi="Arial" w:hint="cs"/>
          <w:b/>
          <w:bCs/>
          <w:noProof w:val="0"/>
          <w:u w:val="single"/>
          <w:rtl/>
        </w:rPr>
        <w:t xml:space="preserve">בעצמה או באמצעות באי כוחה </w:t>
      </w:r>
      <w:r w:rsidRPr="00C0113B">
        <w:rPr>
          <w:rFonts w:ascii="Arial" w:hAnsi="Arial" w:hint="cs"/>
          <w:b/>
          <w:bCs/>
          <w:noProof w:val="0"/>
          <w:u w:val="single"/>
          <w:rtl/>
        </w:rPr>
        <w:t xml:space="preserve">לאיזה בימ"ש הסמכות המקומית לדון </w:t>
      </w:r>
      <w:r w:rsidR="00156030" w:rsidRPr="00C0113B">
        <w:rPr>
          <w:rFonts w:ascii="Arial" w:hAnsi="Arial" w:hint="cs"/>
          <w:b/>
          <w:bCs/>
          <w:noProof w:val="0"/>
          <w:u w:val="single"/>
          <w:rtl/>
        </w:rPr>
        <w:t>בעניינה, בטרם הגשת בקשות באופן שגוי לשני בימ"ש שונים</w:t>
      </w:r>
      <w:r w:rsidR="00C0113B">
        <w:rPr>
          <w:rFonts w:ascii="Arial" w:hAnsi="Arial" w:hint="cs"/>
          <w:noProof w:val="0"/>
          <w:rtl/>
        </w:rPr>
        <w:t xml:space="preserve"> (במיוחד שעה שהדבר צוין מפורשות בהחלטה קודמת בעניינם)</w:t>
      </w:r>
      <w:r w:rsidR="00156030">
        <w:rPr>
          <w:rFonts w:ascii="Arial" w:hAnsi="Arial" w:hint="cs"/>
          <w:noProof w:val="0"/>
          <w:rtl/>
        </w:rPr>
        <w:t>.</w:t>
      </w:r>
    </w:p>
    <w:p w:rsidR="00A67F40" w:rsidRDefault="00156030" w:rsidP="0015603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התיק כאמור יועבר ואולם להבא יכול והגשה שגויה תגרור אחריה חיוב בהוצאות.</w:t>
      </w:r>
    </w:p>
    <w:p w:rsidR="00A67F40" w:rsidRDefault="00156030" w:rsidP="00156030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התיק יועבר לבימ"ש למשפחה בקרית גת</w:t>
      </w:r>
      <w:r w:rsidR="00C0113B">
        <w:rPr>
          <w:rFonts w:ascii="Arial" w:hAnsi="Arial" w:hint="cs"/>
          <w:noProof w:val="0"/>
          <w:rtl/>
        </w:rPr>
        <w:t xml:space="preserve">, </w:t>
      </w:r>
      <w:r>
        <w:rPr>
          <w:rFonts w:ascii="Arial" w:hAnsi="Arial" w:hint="cs"/>
          <w:noProof w:val="0"/>
          <w:rtl/>
        </w:rPr>
        <w:t>שלו הסמכות המקומית לדון בעניינם של צדדים המתגוררים במועצה האזורית באר טוביה.</w:t>
      </w:r>
    </w:p>
    <w:p w:rsidR="00694556" w:rsidRDefault="00156030" w:rsidP="00C0113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המזכירות תשלח ההחלטה לב"כ הצדדים.</w:t>
      </w:r>
    </w:p>
    <w:p w:rsidR="00994CBC" w:rsidRDefault="00994CBC" w:rsidP="00C0113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7C2134" w:rsidP="00C0113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 xml:space="preserve">ניתנה </w:t>
      </w:r>
      <w:r w:rsidR="00005C8B">
        <w:rPr>
          <w:rFonts w:ascii="Arial" w:hAnsi="Arial"/>
          <w:noProof w:val="0"/>
          <w:rtl/>
        </w:rPr>
        <w:t xml:space="preserve">היום,  </w:t>
      </w:r>
      <w:sdt>
        <w:sdtPr>
          <w:rPr>
            <w:rtl/>
          </w:rPr>
          <w:alias w:val="1455"/>
          <w:tag w:val="1455"/>
          <w:id w:val="-557627101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כ"ג כסלו תשפ"ה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581108403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24 דצמבר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694556" w:rsidRDefault="00E7449E" w:rsidP="003823DA">
      <w:pPr>
        <w:spacing w:line="360" w:lineRule="auto"/>
        <w:ind w:left="3600" w:firstLine="720"/>
        <w:jc w:val="right"/>
      </w:pPr>
      <w:sdt>
        <w:sdtPr>
          <w:rPr>
            <w:rtl/>
          </w:rPr>
          <w:alias w:val="MergeField"/>
          <w:tag w:val="1237"/>
          <w:id w:val="747695093"/>
        </w:sdtPr>
        <w:sdtEndPr/>
        <w:sdtContent>
          <w:r w:rsidR="004B7357">
            <w:drawing>
              <wp:inline distT="0" distB="0" distL="0" distR="0" wp14:editId="50D07946">
                <wp:extent cx="2362200" cy="476249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7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2200" cy="4762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3823DA">
      <w:pPr>
        <w:spacing w:line="360" w:lineRule="auto"/>
        <w:ind w:left="3600" w:firstLine="720"/>
        <w:jc w:val="right"/>
        <w:rPr>
          <w:rFonts w:ascii="Arial" w:hAnsi="Arial"/>
          <w:noProof w:val="0"/>
          <w:rtl/>
        </w:rPr>
      </w:pPr>
    </w:p>
    <w:p w:rsidR="00694556" w:rsidRDefault="00694556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94556" w:rsidSect="00AA2FAC">
      <w:headerReference w:type="default" r:id="rId8"/>
      <w:footerReference w:type="default" r:id="rId9"/>
      <w:pgSz w:w="11907" w:h="16840" w:code="9"/>
      <w:pgMar w:top="720" w:right="1701" w:bottom="1134" w:left="1701" w:header="720" w:footer="737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449E" w:rsidRDefault="00E7449E">
      <w:r>
        <w:separator/>
      </w:r>
    </w:p>
  </w:endnote>
  <w:endnote w:type="continuationSeparator" w:id="0">
    <w:p w:rsidR="00E7449E" w:rsidRDefault="00E74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A36101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E7449E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E7449E">
      <w:rPr>
        <w:rStyle w:val="ab"/>
        <w:rtl/>
      </w:rPr>
      <w:t>1</w:t>
    </w:r>
    <w:r w:rsidRPr="004E6E3C"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449E" w:rsidRDefault="00E7449E">
      <w:r>
        <w:separator/>
      </w:r>
    </w:p>
  </w:footnote>
  <w:footnote w:type="continuationSeparator" w:id="0">
    <w:p w:rsidR="00E7449E" w:rsidRDefault="00E74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6C19F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68F9A123" wp14:editId="4BA79926">
          <wp:extent cx="371475" cy="466725"/>
          <wp:effectExtent l="0" t="0" r="9525" b="952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14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8505"/>
    </w:tblGrid>
    <w:tr w:rsidR="00694556" w:rsidTr="00C0113B">
      <w:trPr>
        <w:trHeight w:hRule="exact" w:val="670"/>
        <w:jc w:val="center"/>
      </w:trPr>
      <w:tc>
        <w:tcPr>
          <w:tcW w:w="8505" w:type="dxa"/>
        </w:tcPr>
        <w:sdt>
          <w:sdtPr>
            <w:rPr>
              <w:rtl/>
            </w:rPr>
            <w:alias w:val="1174"/>
            <w:tag w:val="1174"/>
            <w:id w:val="2090960255"/>
            <w:text/>
          </w:sdtPr>
          <w:sdtEndPr/>
          <w:sdtContent>
            <w:p w:rsidR="007D6320" w:rsidRDefault="00B21477">
              <w:pPr>
                <w:pStyle w:val="a3"/>
                <w:jc w:val="center"/>
                <w:rPr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באשדוד</w:t>
              </w:r>
            </w:p>
          </w:sdtContent>
        </w:sdt>
        <w:p w:rsidR="00AD0113" w:rsidRDefault="00AD0113">
          <w:pPr>
            <w:pStyle w:val="a3"/>
            <w:jc w:val="center"/>
            <w:rPr>
              <w:rFonts w:ascii="Tahoma" w:hAnsi="Tahoma" w:cs="Tahoma"/>
              <w:noProof w:val="0"/>
              <w:color w:val="000080"/>
              <w:rtl/>
            </w:rPr>
          </w:pPr>
          <w:r w:rsidRPr="00AD0113">
            <w:rPr>
              <w:rFonts w:ascii="Tahoma" w:hAnsi="Tahoma" w:cs="Tahoma" w:hint="cs"/>
              <w:b/>
              <w:bCs/>
              <w:noProof w:val="0"/>
              <w:color w:val="000080"/>
              <w:rtl/>
            </w:rPr>
            <w:t>בדלתיים סגורות</w:t>
          </w:r>
        </w:p>
      </w:tc>
    </w:tr>
    <w:tr w:rsidR="00694556" w:rsidTr="00C0113B">
      <w:trPr>
        <w:trHeight w:val="337"/>
        <w:jc w:val="center"/>
      </w:trPr>
      <w:tc>
        <w:tcPr>
          <w:tcW w:w="8505" w:type="dxa"/>
        </w:tcPr>
        <w:p w:rsidR="00694556" w:rsidRPr="00527E2B" w:rsidRDefault="00E7449E" w:rsidP="00BF4FBC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1300608308"/>
              <w:text w:multiLine="1"/>
            </w:sdtPr>
            <w:sdtEndPr/>
            <w:sdtContent>
              <w:r w:rsidR="00AF1E56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-1133331993"/>
              <w:text w:multiLine="1"/>
            </w:sdtPr>
            <w:sdtEndPr/>
            <w:sdtContent>
              <w:r w:rsidR="00AF1E56">
                <w:rPr>
                  <w:b/>
                  <w:bCs/>
                  <w:noProof w:val="0"/>
                  <w:sz w:val="26"/>
                  <w:szCs w:val="26"/>
                  <w:rtl/>
                </w:rPr>
                <w:t>65418-11-24</w:t>
              </w:r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944500308"/>
              <w:text w:multiLine="1"/>
            </w:sdtPr>
            <w:sdtEndPr/>
            <w:sdtContent>
              <w:r w:rsidR="00BF4FBC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פלונית</w:t>
              </w:r>
              <w:r w:rsidR="00BF4FBC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</w:t>
              </w:r>
              <w:r w:rsidR="00BF4FBC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פלוני</w:t>
              </w:r>
            </w:sdtContent>
          </w:sdt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4556"/>
    <w:rsid w:val="00005C8B"/>
    <w:rsid w:val="00016C35"/>
    <w:rsid w:val="000564AB"/>
    <w:rsid w:val="000939A3"/>
    <w:rsid w:val="001072A9"/>
    <w:rsid w:val="00132017"/>
    <w:rsid w:val="0014234E"/>
    <w:rsid w:val="00156030"/>
    <w:rsid w:val="00176A9F"/>
    <w:rsid w:val="001C4003"/>
    <w:rsid w:val="001E5129"/>
    <w:rsid w:val="00270668"/>
    <w:rsid w:val="002A0050"/>
    <w:rsid w:val="003305CF"/>
    <w:rsid w:val="00381D3A"/>
    <w:rsid w:val="003823DA"/>
    <w:rsid w:val="004B7357"/>
    <w:rsid w:val="004D49A3"/>
    <w:rsid w:val="004E6E3C"/>
    <w:rsid w:val="005234B2"/>
    <w:rsid w:val="00527E2B"/>
    <w:rsid w:val="00547DB7"/>
    <w:rsid w:val="00587BA6"/>
    <w:rsid w:val="005D4BDB"/>
    <w:rsid w:val="00603191"/>
    <w:rsid w:val="00605FE5"/>
    <w:rsid w:val="006201B6"/>
    <w:rsid w:val="00622BAA"/>
    <w:rsid w:val="00625C89"/>
    <w:rsid w:val="0067196B"/>
    <w:rsid w:val="00671BD5"/>
    <w:rsid w:val="006805C1"/>
    <w:rsid w:val="00694556"/>
    <w:rsid w:val="006C19F9"/>
    <w:rsid w:val="006E1A53"/>
    <w:rsid w:val="007056AA"/>
    <w:rsid w:val="00705C56"/>
    <w:rsid w:val="007A24FE"/>
    <w:rsid w:val="007B7934"/>
    <w:rsid w:val="007C2134"/>
    <w:rsid w:val="007D6320"/>
    <w:rsid w:val="007F1048"/>
    <w:rsid w:val="00820005"/>
    <w:rsid w:val="00846D27"/>
    <w:rsid w:val="00862F34"/>
    <w:rsid w:val="008C319C"/>
    <w:rsid w:val="008C663C"/>
    <w:rsid w:val="00903896"/>
    <w:rsid w:val="00915DAB"/>
    <w:rsid w:val="00927813"/>
    <w:rsid w:val="00944D13"/>
    <w:rsid w:val="00994CBC"/>
    <w:rsid w:val="009C454D"/>
    <w:rsid w:val="009C519C"/>
    <w:rsid w:val="009E0263"/>
    <w:rsid w:val="00A072F5"/>
    <w:rsid w:val="00A26C28"/>
    <w:rsid w:val="00A338A6"/>
    <w:rsid w:val="00A36101"/>
    <w:rsid w:val="00A43458"/>
    <w:rsid w:val="00A67F40"/>
    <w:rsid w:val="00AA2FAC"/>
    <w:rsid w:val="00AD0113"/>
    <w:rsid w:val="00AF1E56"/>
    <w:rsid w:val="00AF1ED6"/>
    <w:rsid w:val="00AF2361"/>
    <w:rsid w:val="00AF6DCB"/>
    <w:rsid w:val="00B21477"/>
    <w:rsid w:val="00B41A76"/>
    <w:rsid w:val="00B71F13"/>
    <w:rsid w:val="00B80CBD"/>
    <w:rsid w:val="00BC3369"/>
    <w:rsid w:val="00BF4FBC"/>
    <w:rsid w:val="00BF77EE"/>
    <w:rsid w:val="00C0113B"/>
    <w:rsid w:val="00C53B50"/>
    <w:rsid w:val="00C83B53"/>
    <w:rsid w:val="00CB3826"/>
    <w:rsid w:val="00CF1DE7"/>
    <w:rsid w:val="00D31F3C"/>
    <w:rsid w:val="00D53924"/>
    <w:rsid w:val="00D96D8C"/>
    <w:rsid w:val="00DA1EFD"/>
    <w:rsid w:val="00DA6871"/>
    <w:rsid w:val="00E00B6F"/>
    <w:rsid w:val="00E54642"/>
    <w:rsid w:val="00E56BCD"/>
    <w:rsid w:val="00E7449E"/>
    <w:rsid w:val="00E818E2"/>
    <w:rsid w:val="00E97908"/>
    <w:rsid w:val="00EC67F3"/>
    <w:rsid w:val="00EF3ED0"/>
    <w:rsid w:val="00EF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446B2D1-8680-45FF-9F9D-A2CEB9C0F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03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9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5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נעמה שחר</cp:lastModifiedBy>
  <cp:revision>2</cp:revision>
  <dcterms:created xsi:type="dcterms:W3CDTF">2024-12-26T15:07:00Z</dcterms:created>
  <dcterms:modified xsi:type="dcterms:W3CDTF">2024-12-26T15:07:00Z</dcterms:modified>
</cp:coreProperties>
</file>